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p>
    <w:p>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龙岩文旅汇金发展</w:t>
      </w:r>
      <w:r>
        <w:rPr>
          <w:rFonts w:hint="eastAsia" w:ascii="方正小标宋简体" w:hAnsi="方正小标宋简体" w:eastAsia="方正小标宋简体" w:cs="方正小标宋简体"/>
          <w:b w:val="0"/>
          <w:bCs w:val="0"/>
          <w:color w:val="auto"/>
          <w:sz w:val="44"/>
          <w:szCs w:val="44"/>
        </w:rPr>
        <w:t>集团有限公司</w:t>
      </w:r>
    </w:p>
    <w:p>
      <w:pPr>
        <w:spacing w:line="560" w:lineRule="exact"/>
        <w:jc w:val="cente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eastAsia="zh-CN"/>
        </w:rPr>
        <w:t>开展</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t>商业房地产抵押贷款支持证券</w:t>
      </w: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比选</w:t>
      </w:r>
      <w:r>
        <w:rPr>
          <w:rFonts w:hint="eastAsia" w:ascii="方正小标宋简体" w:hAnsi="方正小标宋简体" w:eastAsia="方正小标宋简体" w:cs="方正小标宋简体"/>
          <w:b w:val="0"/>
          <w:bCs w:val="0"/>
          <w:color w:val="auto"/>
          <w:sz w:val="44"/>
          <w:szCs w:val="44"/>
          <w:lang w:eastAsia="zh-CN"/>
        </w:rPr>
        <w:t>的</w:t>
      </w:r>
      <w:r>
        <w:rPr>
          <w:rFonts w:hint="eastAsia" w:ascii="方正小标宋简体" w:hAnsi="方正小标宋简体" w:eastAsia="方正小标宋简体" w:cs="方正小标宋简体"/>
          <w:b w:val="0"/>
          <w:bCs w:val="0"/>
          <w:color w:val="auto"/>
          <w:sz w:val="44"/>
          <w:szCs w:val="44"/>
        </w:rPr>
        <w:t>方案</w:t>
      </w:r>
    </w:p>
    <w:p>
      <w:pPr>
        <w:spacing w:line="560" w:lineRule="exact"/>
        <w:jc w:val="center"/>
        <w:rPr>
          <w:rFonts w:hint="eastAsia" w:ascii="仿宋" w:hAnsi="仿宋" w:eastAsia="仿宋" w:cs="仿宋"/>
          <w:b/>
          <w:bCs/>
          <w:color w:val="auto"/>
          <w:sz w:val="32"/>
          <w:szCs w:val="32"/>
        </w:rPr>
      </w:pP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、初评比选办法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采用综合评分法，取评审工作小组人员评分的算术平均值，按得分由高到低顺序排列,选取</w:t>
      </w:r>
      <w:r>
        <w:rPr>
          <w:rFonts w:hint="eastAsia" w:ascii="仿宋_GB2312" w:hAnsi="仿宋_GB2312" w:eastAsia="仿宋_GB2312" w:cs="仿宋_GB2312"/>
          <w:color w:val="auto"/>
          <w:sz w:val="32"/>
          <w:szCs w:val="32"/>
          <w:lang w:eastAsia="zh-CN"/>
        </w:rPr>
        <w:t>得分</w:t>
      </w:r>
      <w:r>
        <w:rPr>
          <w:rFonts w:hint="eastAsia" w:ascii="仿宋_GB2312" w:hAnsi="仿宋_GB2312" w:eastAsia="仿宋_GB2312" w:cs="仿宋_GB2312"/>
          <w:color w:val="auto"/>
          <w:sz w:val="32"/>
          <w:szCs w:val="32"/>
        </w:rPr>
        <w:t>排名前三的</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eastAsia="zh-CN"/>
        </w:rPr>
        <w:t>本债券</w:t>
      </w:r>
      <w:r>
        <w:rPr>
          <w:rFonts w:hint="eastAsia" w:ascii="仿宋_GB2312" w:hAnsi="仿宋_GB2312" w:eastAsia="仿宋_GB2312" w:cs="仿宋_GB2312"/>
          <w:color w:val="auto"/>
          <w:sz w:val="32"/>
          <w:szCs w:val="32"/>
        </w:rPr>
        <w:t>初步选定的融资合作候选对象。</w:t>
      </w:r>
      <w:r>
        <w:rPr>
          <w:rFonts w:hint="eastAsia" w:ascii="仿宋_GB2312" w:hAnsi="仿宋_GB2312" w:eastAsia="仿宋_GB2312" w:cs="仿宋_GB2312"/>
          <w:color w:val="auto"/>
          <w:sz w:val="32"/>
          <w:szCs w:val="32"/>
          <w:lang w:eastAsia="zh-CN"/>
        </w:rPr>
        <w:t>若有</w:t>
      </w:r>
      <w:r>
        <w:rPr>
          <w:rFonts w:hint="eastAsia" w:ascii="仿宋_GB2312" w:hAnsi="仿宋_GB2312" w:eastAsia="仿宋_GB2312" w:cs="仿宋_GB2312"/>
          <w:color w:val="auto"/>
          <w:sz w:val="32"/>
          <w:szCs w:val="32"/>
        </w:rPr>
        <w:t>得分相同的，</w:t>
      </w:r>
      <w:bookmarkStart w:id="1" w:name="_GoBack"/>
      <w:bookmarkEnd w:id="1"/>
      <w:r>
        <w:rPr>
          <w:rFonts w:hint="eastAsia" w:ascii="仿宋_GB2312" w:hAnsi="仿宋_GB2312" w:eastAsia="仿宋_GB2312" w:cs="仿宋_GB2312"/>
          <w:color w:val="auto"/>
          <w:sz w:val="32"/>
          <w:szCs w:val="32"/>
        </w:rPr>
        <w:t>按承销费率报价得分由高到低顺序排列</w:t>
      </w:r>
      <w:r>
        <w:rPr>
          <w:rFonts w:hint="eastAsia" w:ascii="仿宋_GB2312" w:hAnsi="仿宋_GB2312" w:eastAsia="仿宋_GB2312" w:cs="仿宋_GB2312"/>
          <w:color w:val="auto"/>
          <w:sz w:val="32"/>
          <w:szCs w:val="32"/>
          <w:lang w:eastAsia="zh-CN"/>
        </w:rPr>
        <w:t>，高者优先</w:t>
      </w:r>
      <w:r>
        <w:rPr>
          <w:rFonts w:hint="eastAsia" w:ascii="仿宋_GB2312" w:hAnsi="仿宋_GB2312" w:eastAsia="仿宋_GB2312" w:cs="仿宋_GB2312"/>
          <w:color w:val="auto"/>
          <w:sz w:val="32"/>
          <w:szCs w:val="32"/>
        </w:rPr>
        <w:t>；得分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承销费率报价得分相同的，按</w:t>
      </w:r>
      <w:r>
        <w:rPr>
          <w:rFonts w:hint="eastAsia" w:ascii="仿宋_GB2312" w:hAnsi="仿宋_GB2312" w:eastAsia="仿宋_GB2312" w:cs="仿宋_GB2312"/>
          <w:color w:val="auto"/>
          <w:sz w:val="32"/>
          <w:szCs w:val="32"/>
          <w:lang w:eastAsia="zh-CN"/>
        </w:rPr>
        <w:t>融资效率</w:t>
      </w:r>
      <w:r>
        <w:rPr>
          <w:rFonts w:hint="eastAsia" w:ascii="仿宋_GB2312" w:hAnsi="仿宋_GB2312" w:eastAsia="仿宋_GB2312" w:cs="仿宋_GB2312"/>
          <w:color w:val="auto"/>
          <w:sz w:val="32"/>
          <w:szCs w:val="32"/>
        </w:rPr>
        <w:t>得分由高到低顺序排列</w:t>
      </w:r>
      <w:r>
        <w:rPr>
          <w:rFonts w:hint="eastAsia" w:ascii="仿宋_GB2312" w:hAnsi="仿宋_GB2312" w:eastAsia="仿宋_GB2312" w:cs="仿宋_GB2312"/>
          <w:color w:val="auto"/>
          <w:sz w:val="32"/>
          <w:szCs w:val="32"/>
          <w:lang w:eastAsia="zh-CN"/>
        </w:rPr>
        <w:t>，高者优先</w:t>
      </w:r>
      <w:r>
        <w:rPr>
          <w:rFonts w:hint="eastAsia" w:ascii="仿宋_GB2312" w:hAnsi="仿宋_GB2312" w:eastAsia="仿宋_GB2312" w:cs="仿宋_GB2312"/>
          <w:color w:val="auto"/>
          <w:sz w:val="32"/>
          <w:szCs w:val="32"/>
        </w:rPr>
        <w:t>。评分过程中采用四舍五入法，并保留小数点后2位。</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w:t>
      </w:r>
      <w:r>
        <w:rPr>
          <w:rFonts w:hint="eastAsia" w:ascii="楷体" w:hAnsi="楷体" w:eastAsia="楷体" w:cs="楷体"/>
          <w:b w:val="0"/>
          <w:bCs/>
          <w:color w:val="auto"/>
          <w:sz w:val="32"/>
          <w:szCs w:val="32"/>
          <w:lang w:eastAsia="zh-CN"/>
        </w:rPr>
        <w:t>承销商实力</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5</w:t>
      </w:r>
      <w:r>
        <w:rPr>
          <w:rFonts w:hint="eastAsia" w:ascii="楷体" w:hAnsi="楷体" w:eastAsia="楷体" w:cs="楷体"/>
          <w:b w:val="0"/>
          <w:bCs/>
          <w:color w:val="auto"/>
          <w:sz w:val="32"/>
          <w:szCs w:val="32"/>
        </w:rPr>
        <w:t>分）</w:t>
      </w:r>
    </w:p>
    <w:p>
      <w:pPr>
        <w:spacing w:line="580" w:lineRule="exact"/>
        <w:ind w:firstLine="640" w:firstLineChars="200"/>
        <w:rPr>
          <w:rFonts w:hint="eastAsia" w:ascii="仿宋_GB2312" w:hAnsi="仿宋_GB2312" w:eastAsia="仿宋_GB2312" w:cs="仿宋_GB2312"/>
          <w:color w:val="auto"/>
          <w:sz w:val="32"/>
          <w:szCs w:val="32"/>
          <w:highlight w:val="yellow"/>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承销</w:t>
      </w:r>
      <w:r>
        <w:rPr>
          <w:rFonts w:hint="eastAsia" w:ascii="仿宋" w:hAnsi="仿宋" w:eastAsia="仿宋" w:cs="仿宋"/>
          <w:color w:val="auto"/>
          <w:sz w:val="32"/>
          <w:szCs w:val="32"/>
        </w:rPr>
        <w:t>机构在融资发行方案中应提供相应的资质证明。</w:t>
      </w:r>
      <w:r>
        <w:rPr>
          <w:rFonts w:hint="eastAsia" w:ascii="仿宋" w:hAnsi="仿宋" w:eastAsia="仿宋" w:cs="仿宋"/>
          <w:color w:val="auto"/>
          <w:sz w:val="32"/>
          <w:szCs w:val="32"/>
          <w:lang w:eastAsia="zh-CN"/>
        </w:rPr>
        <w:t>上一年中国证监会公布的</w:t>
      </w:r>
      <w:r>
        <w:rPr>
          <w:rFonts w:hint="eastAsia" w:ascii="仿宋" w:hAnsi="仿宋" w:eastAsia="仿宋" w:cs="仿宋"/>
          <w:color w:val="auto"/>
          <w:sz w:val="32"/>
          <w:szCs w:val="32"/>
          <w:lang w:val="en-US" w:eastAsia="zh-CN"/>
        </w:rPr>
        <w:t>AAA类</w:t>
      </w:r>
      <w:r>
        <w:rPr>
          <w:rFonts w:hint="eastAsia" w:ascii="Times New Roman" w:hAnsi="Times New Roman" w:eastAsia="仿宋_GB2312"/>
          <w:sz w:val="32"/>
          <w:szCs w:val="24"/>
        </w:rPr>
        <w:t>金融机构得</w:t>
      </w:r>
      <w:r>
        <w:rPr>
          <w:rFonts w:hint="eastAsia" w:ascii="Times New Roman" w:hAnsi="Times New Roman" w:eastAsia="仿宋_GB2312"/>
          <w:sz w:val="32"/>
          <w:szCs w:val="24"/>
          <w:lang w:val="en-US" w:eastAsia="zh-CN"/>
        </w:rPr>
        <w:t>5</w:t>
      </w:r>
      <w:r>
        <w:rPr>
          <w:rFonts w:hint="eastAsia" w:ascii="Times New Roman" w:hAnsi="Times New Roman" w:eastAsia="仿宋_GB2312"/>
          <w:sz w:val="32"/>
          <w:szCs w:val="24"/>
        </w:rPr>
        <w:t>分、</w:t>
      </w:r>
      <w:r>
        <w:rPr>
          <w:rFonts w:ascii="Times New Roman" w:hAnsi="Times New Roman" w:eastAsia="仿宋_GB2312"/>
          <w:sz w:val="32"/>
          <w:szCs w:val="24"/>
        </w:rPr>
        <w:t>AA</w:t>
      </w:r>
      <w:r>
        <w:rPr>
          <w:rFonts w:hint="eastAsia" w:ascii="Times New Roman" w:hAnsi="Times New Roman" w:eastAsia="仿宋_GB2312"/>
          <w:sz w:val="32"/>
          <w:szCs w:val="24"/>
        </w:rPr>
        <w:t>类得</w:t>
      </w: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分，</w:t>
      </w:r>
      <w:r>
        <w:rPr>
          <w:rFonts w:ascii="Times New Roman" w:hAnsi="Times New Roman" w:eastAsia="仿宋_GB2312"/>
          <w:sz w:val="32"/>
          <w:szCs w:val="24"/>
        </w:rPr>
        <w:t xml:space="preserve"> A</w:t>
      </w:r>
      <w:r>
        <w:rPr>
          <w:rFonts w:hint="eastAsia" w:ascii="Times New Roman" w:hAnsi="Times New Roman" w:eastAsia="仿宋_GB2312"/>
          <w:sz w:val="32"/>
          <w:szCs w:val="24"/>
        </w:rPr>
        <w:t>类得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w:t>
      </w:r>
      <w:r>
        <w:rPr>
          <w:rFonts w:ascii="Times New Roman" w:hAnsi="Times New Roman" w:eastAsia="仿宋_GB2312"/>
          <w:sz w:val="32"/>
          <w:szCs w:val="24"/>
        </w:rPr>
        <w:t xml:space="preserve"> BBB</w:t>
      </w:r>
      <w:r>
        <w:rPr>
          <w:rFonts w:hint="eastAsia" w:ascii="Times New Roman" w:hAnsi="Times New Roman" w:eastAsia="仿宋_GB2312"/>
          <w:sz w:val="32"/>
          <w:szCs w:val="24"/>
        </w:rPr>
        <w:t>类得</w:t>
      </w:r>
      <w:r>
        <w:rPr>
          <w:rFonts w:ascii="Times New Roman" w:hAnsi="Times New Roman" w:eastAsia="仿宋_GB2312"/>
          <w:sz w:val="32"/>
          <w:szCs w:val="24"/>
        </w:rPr>
        <w:t>2</w:t>
      </w:r>
      <w:r>
        <w:rPr>
          <w:rFonts w:hint="eastAsia" w:ascii="Times New Roman" w:hAnsi="Times New Roman" w:eastAsia="仿宋_GB2312"/>
          <w:sz w:val="32"/>
          <w:szCs w:val="24"/>
        </w:rPr>
        <w:t>分，</w:t>
      </w:r>
      <w:r>
        <w:rPr>
          <w:rFonts w:ascii="Times New Roman" w:hAnsi="Times New Roman" w:eastAsia="仿宋_GB2312"/>
          <w:sz w:val="32"/>
          <w:szCs w:val="24"/>
        </w:rPr>
        <w:t xml:space="preserve"> BB</w:t>
      </w:r>
      <w:r>
        <w:rPr>
          <w:rFonts w:hint="eastAsia" w:ascii="Times New Roman" w:hAnsi="Times New Roman" w:eastAsia="仿宋_GB2312"/>
          <w:sz w:val="32"/>
          <w:szCs w:val="24"/>
        </w:rPr>
        <w:t>类得</w:t>
      </w:r>
      <w:r>
        <w:rPr>
          <w:rFonts w:ascii="Times New Roman" w:hAnsi="Times New Roman" w:eastAsia="仿宋_GB2312"/>
          <w:sz w:val="32"/>
          <w:szCs w:val="24"/>
        </w:rPr>
        <w:t>1</w:t>
      </w:r>
      <w:r>
        <w:rPr>
          <w:rFonts w:hint="eastAsia" w:ascii="Times New Roman" w:hAnsi="Times New Roman" w:eastAsia="仿宋_GB2312"/>
          <w:sz w:val="32"/>
          <w:szCs w:val="24"/>
        </w:rPr>
        <w:t>分，其他类不得分。</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（二）融资成本（</w:t>
      </w:r>
      <w:r>
        <w:rPr>
          <w:rFonts w:hint="eastAsia" w:ascii="楷体" w:hAnsi="楷体" w:eastAsia="楷体" w:cs="楷体"/>
          <w:b w:val="0"/>
          <w:bCs/>
          <w:color w:val="auto"/>
          <w:sz w:val="32"/>
          <w:szCs w:val="32"/>
          <w:lang w:val="en-US" w:eastAsia="zh-CN"/>
        </w:rPr>
        <w:t>35</w:t>
      </w:r>
      <w:r>
        <w:rPr>
          <w:rFonts w:hint="eastAsia" w:ascii="楷体" w:hAnsi="楷体" w:eastAsia="楷体" w:cs="楷体"/>
          <w:b w:val="0"/>
          <w:bCs/>
          <w:color w:val="auto"/>
          <w:sz w:val="32"/>
          <w:szCs w:val="32"/>
        </w:rPr>
        <w:t>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承销机构</w:t>
      </w:r>
      <w:r>
        <w:rPr>
          <w:rFonts w:hint="eastAsia" w:ascii="仿宋_GB2312" w:hAnsi="仿宋_GB2312" w:eastAsia="仿宋_GB2312" w:cs="仿宋_GB2312"/>
          <w:color w:val="auto"/>
          <w:sz w:val="32"/>
          <w:szCs w:val="32"/>
        </w:rPr>
        <w:t>在融资方案中应对</w:t>
      </w:r>
      <w:r>
        <w:rPr>
          <w:rFonts w:hint="eastAsia" w:ascii="仿宋_GB2312" w:hAnsi="仿宋_GB2312" w:eastAsia="仿宋_GB2312" w:cs="仿宋_GB2312"/>
          <w:color w:val="auto"/>
          <w:sz w:val="32"/>
          <w:szCs w:val="32"/>
          <w:lang w:eastAsia="zh-CN"/>
        </w:rPr>
        <w:t>本产品</w:t>
      </w:r>
      <w:r>
        <w:rPr>
          <w:rFonts w:hint="eastAsia" w:ascii="仿宋_GB2312" w:hAnsi="仿宋_GB2312" w:eastAsia="仿宋_GB2312" w:cs="仿宋_GB2312"/>
          <w:color w:val="auto"/>
          <w:sz w:val="32"/>
          <w:szCs w:val="32"/>
        </w:rPr>
        <w:t>提供融资成本说明，包括承销费率</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支付方式等影响综合融资成本的因素。</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固定</w:t>
      </w:r>
      <w:r>
        <w:rPr>
          <w:rFonts w:hint="eastAsia" w:ascii="仿宋_GB2312" w:hAnsi="仿宋_GB2312" w:eastAsia="仿宋_GB2312" w:cs="仿宋_GB2312"/>
          <w:color w:val="auto"/>
          <w:sz w:val="32"/>
          <w:szCs w:val="32"/>
        </w:rPr>
        <w:t>承销费率以年化率/千分比进行报价（</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分）。承销费率有效报价区间</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‰/年（含</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‰及</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超出作废）；价格评分的</w:t>
      </w:r>
      <w:r>
        <w:rPr>
          <w:rFonts w:hint="eastAsia" w:ascii="仿宋_GB2312" w:hAnsi="仿宋_GB2312" w:eastAsia="仿宋_GB2312" w:cs="仿宋_GB2312"/>
          <w:color w:val="auto"/>
          <w:sz w:val="32"/>
          <w:szCs w:val="32"/>
        </w:rPr>
        <w:t>计算方法如下：以</w:t>
      </w:r>
      <w:r>
        <w:rPr>
          <w:rFonts w:hint="eastAsia" w:ascii="仿宋_GB2312" w:hAnsi="仿宋_GB2312" w:eastAsia="仿宋_GB2312" w:cs="仿宋_GB2312"/>
          <w:color w:val="auto"/>
          <w:sz w:val="32"/>
          <w:szCs w:val="32"/>
          <w:lang w:eastAsia="zh-CN"/>
        </w:rPr>
        <w:t>有效送选方案的</w:t>
      </w:r>
      <w:r>
        <w:rPr>
          <w:rFonts w:hint="eastAsia" w:ascii="仿宋_GB2312" w:hAnsi="仿宋_GB2312" w:eastAsia="仿宋_GB2312" w:cs="仿宋_GB2312"/>
          <w:color w:val="auto"/>
          <w:sz w:val="32"/>
          <w:szCs w:val="32"/>
        </w:rPr>
        <w:t>承销费率的平均值下浮10%（即承销费率平均值的90%）为基准价，报价与基准价相同为满分，即</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高于或低于部分计算方法：</w:t>
      </w:r>
      <w:r>
        <w:rPr>
          <w:rFonts w:hint="eastAsia" w:ascii="Times New Roman" w:hAnsi="Times New Roman" w:eastAsia="仿宋_GB2312"/>
          <w:sz w:val="32"/>
          <w:szCs w:val="24"/>
        </w:rPr>
        <w:t>按照承销费率与基准价的偏离度进行扣分，</w:t>
      </w:r>
      <w:r>
        <w:rPr>
          <w:rFonts w:hint="eastAsia" w:ascii="仿宋_GB2312" w:hAnsi="仿宋_GB2312" w:eastAsia="仿宋_GB2312" w:cs="仿宋_GB2312"/>
          <w:color w:val="auto"/>
          <w:sz w:val="32"/>
          <w:szCs w:val="32"/>
        </w:rPr>
        <w:t>将金融机构申报承销费率与基准价的差异率放大10倍，高于部分采用多</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倍扣分</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lang w:val="en-US" w:eastAsia="zh-CN"/>
        </w:rPr>
        <w:t>11倍）</w:t>
      </w:r>
      <w:r>
        <w:rPr>
          <w:rFonts w:hint="eastAsia" w:ascii="仿宋_GB2312" w:hAnsi="仿宋_GB2312" w:eastAsia="仿宋_GB2312" w:cs="仿宋_GB2312"/>
          <w:color w:val="auto"/>
          <w:sz w:val="32"/>
          <w:szCs w:val="32"/>
        </w:rPr>
        <w:t>，低于部分同倍扣分</w:t>
      </w:r>
      <w:r>
        <w:rPr>
          <w:rFonts w:hint="eastAsia" w:ascii="仿宋_GB2312" w:hAnsi="仿宋_GB2312" w:eastAsia="仿宋_GB2312" w:cs="仿宋_GB2312"/>
          <w:color w:val="auto"/>
          <w:sz w:val="32"/>
          <w:szCs w:val="32"/>
          <w:lang w:eastAsia="zh-CN"/>
        </w:rPr>
        <w:t>（即</w:t>
      </w:r>
      <w:r>
        <w:rPr>
          <w:rFonts w:hint="eastAsia" w:ascii="仿宋_GB2312" w:hAnsi="仿宋_GB2312" w:eastAsia="仿宋_GB2312" w:cs="仿宋_GB2312"/>
          <w:color w:val="auto"/>
          <w:sz w:val="32"/>
          <w:szCs w:val="32"/>
          <w:lang w:val="en-US" w:eastAsia="zh-CN"/>
        </w:rPr>
        <w:t>10倍）</w:t>
      </w:r>
      <w:r>
        <w:rPr>
          <w:rFonts w:hint="eastAsia" w:ascii="仿宋_GB2312" w:hAnsi="仿宋_GB2312" w:eastAsia="仿宋_GB2312" w:cs="仿宋_GB2312"/>
          <w:color w:val="auto"/>
          <w:sz w:val="32"/>
          <w:szCs w:val="32"/>
        </w:rPr>
        <w:t>,扣完</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分为止。</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申报承销费与基准价的差异率=（承销费率-基准价）/基准价。</w:t>
      </w:r>
    </w:p>
    <w:p>
      <w:pPr>
        <w:numPr>
          <w:ilvl w:val="0"/>
          <w:numId w:val="0"/>
        </w:numPr>
        <w:tabs>
          <w:tab w:val="left" w:pos="312"/>
        </w:tabs>
        <w:spacing w:line="560" w:lineRule="exact"/>
        <w:ind w:firstLine="640" w:firstLineChars="20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高出部分扣分数=差异率×1</w:t>
      </w:r>
      <w:r>
        <w:rPr>
          <w:rFonts w:hint="eastAsia" w:ascii="仿宋_GB2312" w:hAnsi="仿宋_GB2312" w:eastAsia="仿宋_GB2312" w:cs="仿宋_GB2312"/>
          <w:i w:val="0"/>
          <w:iCs w:val="0"/>
          <w:color w:val="auto"/>
          <w:sz w:val="32"/>
          <w:szCs w:val="32"/>
          <w:u w:val="none"/>
          <w:lang w:val="en-US" w:eastAsia="zh-CN"/>
        </w:rPr>
        <w:t>1</w:t>
      </w:r>
      <w:r>
        <w:rPr>
          <w:rFonts w:hint="eastAsia" w:ascii="仿宋_GB2312" w:hAnsi="仿宋_GB2312" w:eastAsia="仿宋_GB2312" w:cs="仿宋_GB2312"/>
          <w:i w:val="0"/>
          <w:iCs w:val="0"/>
          <w:color w:val="auto"/>
          <w:sz w:val="32"/>
          <w:szCs w:val="32"/>
          <w:u w:val="none"/>
        </w:rPr>
        <w:t>；</w:t>
      </w:r>
    </w:p>
    <w:p>
      <w:pPr>
        <w:numPr>
          <w:ilvl w:val="0"/>
          <w:numId w:val="0"/>
        </w:numPr>
        <w:tabs>
          <w:tab w:val="left" w:pos="312"/>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z w:val="32"/>
          <w:szCs w:val="32"/>
          <w:u w:val="none"/>
        </w:rPr>
        <w:t>低出部分扣分数=差异率(绝对值)×10。</w:t>
      </w:r>
    </w:p>
    <w:p>
      <w:pPr>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 xml:space="preserve">固定承销费支付方式（5分）：同意分期支付得5分，否则不得分。 </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rPr>
        <w:t>）融资效率</w:t>
      </w:r>
      <w:r>
        <w:rPr>
          <w:rFonts w:hint="eastAsia" w:ascii="楷体" w:hAnsi="楷体" w:eastAsia="楷体" w:cs="楷体"/>
          <w:b w:val="0"/>
          <w:bCs/>
          <w:color w:val="auto"/>
          <w:sz w:val="32"/>
          <w:szCs w:val="32"/>
          <w:lang w:eastAsia="zh-CN"/>
        </w:rPr>
        <w:t>和</w:t>
      </w:r>
      <w:r>
        <w:rPr>
          <w:rFonts w:hint="eastAsia" w:ascii="楷体" w:hAnsi="楷体" w:eastAsia="楷体" w:cs="楷体"/>
          <w:b w:val="0"/>
          <w:bCs/>
          <w:color w:val="auto"/>
          <w:sz w:val="32"/>
          <w:szCs w:val="32"/>
        </w:rPr>
        <w:t>保障措施（</w:t>
      </w:r>
      <w:r>
        <w:rPr>
          <w:rFonts w:hint="eastAsia" w:ascii="楷体" w:hAnsi="楷体" w:eastAsia="楷体" w:cs="楷体"/>
          <w:b w:val="0"/>
          <w:bCs/>
          <w:color w:val="auto"/>
          <w:sz w:val="32"/>
          <w:szCs w:val="32"/>
          <w:lang w:val="en-US" w:eastAsia="zh-CN"/>
        </w:rPr>
        <w:t>28</w:t>
      </w:r>
      <w:r>
        <w:rPr>
          <w:rFonts w:hint="eastAsia" w:ascii="楷体" w:hAnsi="楷体" w:eastAsia="楷体" w:cs="楷体"/>
          <w:b w:val="0"/>
          <w:bCs/>
          <w:color w:val="auto"/>
          <w:sz w:val="32"/>
          <w:szCs w:val="32"/>
        </w:rPr>
        <w:t>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应对是否能提供项目融资所需办理时限、融资保障措施及</w:t>
      </w:r>
      <w:r>
        <w:rPr>
          <w:rFonts w:hint="eastAsia" w:ascii="Times New Roman" w:hAnsi="Times New Roman" w:eastAsia="仿宋_GB2312"/>
          <w:sz w:val="32"/>
          <w:szCs w:val="24"/>
        </w:rPr>
        <w:t>服务能力、方案整体质量</w:t>
      </w:r>
      <w:r>
        <w:rPr>
          <w:rFonts w:hint="eastAsia" w:ascii="仿宋_GB2312" w:hAnsi="仿宋_GB2312" w:eastAsia="仿宋_GB2312" w:cs="仿宋_GB2312"/>
          <w:color w:val="auto"/>
          <w:sz w:val="32"/>
          <w:szCs w:val="32"/>
        </w:rPr>
        <w:t>等因素做出说明。</w:t>
      </w:r>
    </w:p>
    <w:p>
      <w:pPr>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1.办理时限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分）：各</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在融资发行方案中明确从项目启动到具备发行条件</w:t>
      </w:r>
      <w:r>
        <w:rPr>
          <w:rFonts w:hint="eastAsia" w:ascii="仿宋_GB2312" w:hAnsi="仿宋_GB2312" w:eastAsia="仿宋_GB2312" w:cs="仿宋_GB2312"/>
          <w:color w:val="auto"/>
          <w:sz w:val="32"/>
          <w:szCs w:val="32"/>
          <w:lang w:eastAsia="zh-CN"/>
        </w:rPr>
        <w:t>各主要阶段</w:t>
      </w:r>
      <w:r>
        <w:rPr>
          <w:rFonts w:hint="eastAsia" w:ascii="仿宋_GB2312" w:hAnsi="仿宋_GB2312" w:eastAsia="仿宋_GB2312" w:cs="仿宋_GB2312"/>
          <w:color w:val="auto"/>
          <w:sz w:val="32"/>
          <w:szCs w:val="32"/>
        </w:rPr>
        <w:t>时间安排</w:t>
      </w:r>
      <w:r>
        <w:rPr>
          <w:rFonts w:hint="eastAsia" w:ascii="仿宋_GB2312" w:hAnsi="仿宋_GB2312" w:eastAsia="仿宋_GB2312" w:cs="仿宋_GB2312"/>
          <w:color w:val="auto"/>
          <w:sz w:val="32"/>
          <w:szCs w:val="32"/>
          <w:lang w:eastAsia="zh-CN"/>
        </w:rPr>
        <w:t>（以实际工作日口径）</w:t>
      </w:r>
      <w:r>
        <w:rPr>
          <w:rFonts w:hint="eastAsia" w:ascii="仿宋_GB2312" w:hAnsi="仿宋_GB2312" w:eastAsia="仿宋_GB2312" w:cs="仿宋_GB2312"/>
          <w:color w:val="auto"/>
          <w:sz w:val="32"/>
          <w:szCs w:val="32"/>
        </w:rPr>
        <w:t>，包含明确各时间节点时限。正式确定承销商</w:t>
      </w:r>
      <w:r>
        <w:rPr>
          <w:rFonts w:hint="eastAsia" w:ascii="仿宋_GB2312" w:hAnsi="仿宋_GB2312" w:eastAsia="仿宋_GB2312" w:cs="仿宋_GB2312"/>
          <w:color w:val="auto"/>
          <w:sz w:val="32"/>
          <w:szCs w:val="32"/>
          <w:lang w:eastAsia="zh-CN"/>
        </w:rPr>
        <w:t>后，应</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我司</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年年度审计报告</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必须要件</w:t>
      </w:r>
      <w:r>
        <w:rPr>
          <w:rFonts w:hint="eastAsia" w:ascii="仿宋_GB2312" w:hAnsi="仿宋_GB2312" w:eastAsia="仿宋_GB2312" w:cs="仿宋_GB2312"/>
          <w:color w:val="auto"/>
          <w:sz w:val="32"/>
          <w:szCs w:val="32"/>
          <w:lang w:eastAsia="zh-CN"/>
        </w:rPr>
        <w:t>且按照我司要求的提交注册申报时间指令</w:t>
      </w:r>
      <w:r>
        <w:rPr>
          <w:rFonts w:hint="eastAsia"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lang w:eastAsia="zh-CN"/>
        </w:rPr>
        <w:t>算</w:t>
      </w:r>
      <w:r>
        <w:rPr>
          <w:rFonts w:hint="eastAsia" w:ascii="仿宋_GB2312" w:hAnsi="仿宋_GB2312" w:eastAsia="仿宋_GB2312" w:cs="仿宋_GB2312"/>
          <w:color w:val="auto"/>
          <w:sz w:val="32"/>
          <w:szCs w:val="32"/>
          <w:lang w:val="en-US" w:eastAsia="zh-CN"/>
        </w:rPr>
        <w:t>天数</w:t>
      </w:r>
      <w:r>
        <w:rPr>
          <w:rFonts w:hint="eastAsia" w:ascii="仿宋_GB2312" w:hAnsi="仿宋_GB2312" w:eastAsia="仿宋_GB2312" w:cs="仿宋_GB2312"/>
          <w:color w:val="auto"/>
          <w:sz w:val="32"/>
          <w:szCs w:val="32"/>
        </w:rPr>
        <w:t>内完成注册</w:t>
      </w:r>
      <w:r>
        <w:rPr>
          <w:rFonts w:hint="eastAsia" w:ascii="仿宋_GB2312" w:hAnsi="仿宋_GB2312" w:eastAsia="仿宋_GB2312" w:cs="仿宋_GB2312"/>
          <w:color w:val="auto"/>
          <w:sz w:val="32"/>
          <w:szCs w:val="32"/>
          <w:lang w:eastAsia="zh-CN"/>
        </w:rPr>
        <w:t>申报，我司根据各个方案的时效性及合理性进行评分</w:t>
      </w:r>
      <w:r>
        <w:rPr>
          <w:rFonts w:hint="eastAsia" w:ascii="仿宋_GB2312" w:hAnsi="仿宋_GB2312" w:eastAsia="仿宋_GB2312" w:cs="仿宋_GB2312"/>
          <w:color w:val="auto"/>
          <w:sz w:val="32"/>
          <w:szCs w:val="32"/>
          <w:highlight w:val="none"/>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融资</w:t>
      </w:r>
      <w:r>
        <w:rPr>
          <w:rFonts w:hint="eastAsia" w:ascii="仿宋_GB2312" w:hAnsi="仿宋_GB2312" w:eastAsia="仿宋_GB2312" w:cs="仿宋_GB2312"/>
          <w:color w:val="auto"/>
          <w:sz w:val="32"/>
          <w:szCs w:val="32"/>
        </w:rPr>
        <w:t>保障措施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分）</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承诺</w:t>
      </w:r>
      <w:r>
        <w:rPr>
          <w:rFonts w:hint="eastAsia" w:ascii="仿宋_GB2312" w:hAnsi="仿宋_GB2312" w:eastAsia="仿宋_GB2312" w:cs="仿宋_GB2312"/>
          <w:color w:val="auto"/>
          <w:sz w:val="32"/>
          <w:szCs w:val="32"/>
        </w:rPr>
        <w:t>余额包销（</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pPr>
        <w:spacing w:line="58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（2）其它保障措施（3分），</w:t>
      </w:r>
      <w:r>
        <w:rPr>
          <w:rFonts w:hint="eastAsia" w:ascii="仿宋_GB2312" w:eastAsia="仿宋_GB2312" w:cs="黑体"/>
          <w:sz w:val="32"/>
          <w:szCs w:val="32"/>
        </w:rPr>
        <w:t>即：金融机构自身投债比例、可协调的投债资源等。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Times New Roman" w:hAnsi="Times New Roman" w:eastAsia="仿宋_GB2312"/>
          <w:sz w:val="32"/>
          <w:szCs w:val="24"/>
        </w:rPr>
        <w:t>服务能力和沟通能力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分）：</w:t>
      </w:r>
    </w:p>
    <w:p>
      <w:pPr>
        <w:spacing w:line="560" w:lineRule="exact"/>
        <w:ind w:firstLine="640" w:firstLineChars="200"/>
        <w:rPr>
          <w:rFonts w:hint="eastAsia" w:ascii="Times New Roman" w:hAnsi="Times New Roman" w:eastAsia="仿宋_GB2312" w:cs="Times New Roman"/>
          <w:sz w:val="32"/>
          <w:szCs w:val="24"/>
          <w:lang w:eastAsia="zh-CN"/>
        </w:rPr>
      </w:pPr>
      <w:r>
        <w:rPr>
          <w:rFonts w:hint="eastAsia" w:ascii="仿宋_GB2312" w:hAnsi="仿宋_GB2312" w:eastAsia="仿宋_GB2312" w:cs="仿宋_GB2312"/>
          <w:color w:val="auto"/>
          <w:sz w:val="32"/>
          <w:szCs w:val="32"/>
          <w:lang w:val="en-US" w:eastAsia="zh-CN"/>
        </w:rPr>
        <w:t>（1）</w:t>
      </w:r>
      <w:r>
        <w:rPr>
          <w:rFonts w:hint="eastAsia" w:ascii="Times New Roman" w:hAnsi="Times New Roman" w:eastAsia="仿宋_GB2312"/>
          <w:sz w:val="32"/>
          <w:szCs w:val="24"/>
        </w:rPr>
        <w:t>团队实力（</w:t>
      </w:r>
      <w:r>
        <w:rPr>
          <w:rFonts w:hint="eastAsia" w:ascii="楷体_GB2312" w:hAnsi="Times New Roman" w:eastAsia="楷体_GB2312"/>
          <w:sz w:val="32"/>
          <w:szCs w:val="24"/>
          <w:lang w:val="en-US" w:eastAsia="zh-CN"/>
        </w:rPr>
        <w:t>3</w:t>
      </w:r>
      <w:r>
        <w:rPr>
          <w:rFonts w:hint="eastAsia" w:ascii="楷体_GB2312" w:hAnsi="Times New Roman" w:eastAsia="楷体_GB2312"/>
          <w:sz w:val="32"/>
          <w:szCs w:val="24"/>
        </w:rPr>
        <w:t>分</w:t>
      </w:r>
      <w:r>
        <w:rPr>
          <w:rFonts w:hint="eastAsia" w:ascii="楷体_GB2312" w:hAnsi="Times New Roman" w:eastAsia="楷体_GB2312"/>
          <w:sz w:val="32"/>
          <w:szCs w:val="24"/>
          <w:lang w:eastAsia="zh-CN"/>
        </w:rPr>
        <w:t>）</w:t>
      </w:r>
      <w:r>
        <w:rPr>
          <w:rFonts w:hint="eastAsia" w:ascii="Times New Roman" w:hAnsi="Times New Roman" w:eastAsia="仿宋_GB2312" w:cs="Times New Roman"/>
          <w:sz w:val="32"/>
          <w:szCs w:val="24"/>
        </w:rPr>
        <w:t>，项目总负责人或总协调人应具有同类债券申报发行成功案例</w:t>
      </w:r>
      <w:r>
        <w:rPr>
          <w:rFonts w:hint="eastAsia" w:ascii="Times New Roman" w:hAnsi="Times New Roman" w:eastAsia="仿宋_GB2312" w:cs="Times New Roman"/>
          <w:sz w:val="32"/>
          <w:szCs w:val="24"/>
          <w:lang w:eastAsia="zh-CN"/>
        </w:rPr>
        <w:t>；</w:t>
      </w:r>
    </w:p>
    <w:p>
      <w:pPr>
        <w:numPr>
          <w:ilvl w:val="0"/>
          <w:numId w:val="1"/>
        </w:numPr>
        <w:spacing w:line="56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rPr>
        <w:t>承诺提供专业服务内容、增值服务内容（</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w:t>
      </w:r>
    </w:p>
    <w:p>
      <w:pPr>
        <w:numPr>
          <w:ilvl w:val="0"/>
          <w:numId w:val="1"/>
        </w:numPr>
        <w:spacing w:line="56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sz w:val="32"/>
          <w:szCs w:val="24"/>
        </w:rPr>
        <w:t>产品发行后后续服务方案（</w:t>
      </w:r>
      <w:r>
        <w:rPr>
          <w:rFonts w:ascii="Times New Roman" w:hAnsi="Times New Roman" w:eastAsia="仿宋_GB2312"/>
          <w:sz w:val="32"/>
          <w:szCs w:val="24"/>
        </w:rPr>
        <w:t>4</w:t>
      </w:r>
      <w:r>
        <w:rPr>
          <w:rFonts w:hint="eastAsia" w:ascii="Times New Roman" w:hAnsi="Times New Roman" w:eastAsia="仿宋_GB2312"/>
          <w:sz w:val="32"/>
          <w:szCs w:val="24"/>
        </w:rPr>
        <w:t>分</w:t>
      </w:r>
      <w:r>
        <w:rPr>
          <w:rFonts w:hint="eastAsia" w:ascii="Times New Roman" w:hAnsi="Times New Roman" w:eastAsia="仿宋_GB2312"/>
          <w:sz w:val="32"/>
          <w:szCs w:val="24"/>
          <w:lang w:eastAsia="zh-CN"/>
        </w:rPr>
        <w:t>），</w:t>
      </w:r>
      <w:r>
        <w:rPr>
          <w:rFonts w:hint="eastAsia" w:ascii="Times New Roman" w:hAnsi="Times New Roman" w:eastAsia="仿宋_GB2312" w:cs="Times New Roman"/>
          <w:sz w:val="32"/>
          <w:szCs w:val="24"/>
          <w:lang w:eastAsia="zh-CN"/>
        </w:rPr>
        <w:t>具体要求</w:t>
      </w:r>
      <w:r>
        <w:rPr>
          <w:rFonts w:hint="eastAsia" w:ascii="Times New Roman" w:hAnsi="Times New Roman" w:eastAsia="仿宋_GB2312" w:cs="Times New Roman"/>
          <w:sz w:val="32"/>
          <w:szCs w:val="24"/>
        </w:rPr>
        <w:t>应列明存续期服务承诺，如涉及召开债券持有人会议的服务承诺</w:t>
      </w:r>
      <w:r>
        <w:rPr>
          <w:rFonts w:hint="eastAsia" w:ascii="Times New Roman" w:hAnsi="Times New Roman" w:eastAsia="仿宋_GB2312" w:cs="Times New Roman"/>
          <w:sz w:val="32"/>
          <w:szCs w:val="24"/>
          <w:lang w:eastAsia="zh-CN"/>
        </w:rPr>
        <w:t>；</w:t>
      </w:r>
    </w:p>
    <w:p>
      <w:pPr>
        <w:numPr>
          <w:ilvl w:val="0"/>
          <w:numId w:val="0"/>
        </w:numPr>
        <w:spacing w:line="560" w:lineRule="exact"/>
        <w:ind w:firstLine="640" w:firstLineChars="200"/>
        <w:rPr>
          <w:rFonts w:hint="eastAsia" w:ascii="Times New Roman" w:hAnsi="Times New Roman" w:eastAsia="仿宋_GB2312" w:cs="Times New Roman"/>
          <w:color w:val="auto"/>
          <w:sz w:val="32"/>
          <w:szCs w:val="24"/>
          <w:u w:val="none"/>
        </w:rPr>
      </w:pPr>
      <w:r>
        <w:rPr>
          <w:rFonts w:hint="eastAsia" w:ascii="Times New Roman" w:hAnsi="Times New Roman" w:eastAsia="仿宋_GB2312" w:cs="Times New Roman"/>
          <w:sz w:val="32"/>
          <w:szCs w:val="24"/>
          <w:u w:val="none"/>
          <w:lang w:eastAsia="zh-CN"/>
        </w:rPr>
        <w:t>（</w:t>
      </w:r>
      <w:r>
        <w:rPr>
          <w:rFonts w:hint="eastAsia" w:ascii="Times New Roman" w:hAnsi="Times New Roman" w:eastAsia="仿宋_GB2312" w:cs="Times New Roman"/>
          <w:sz w:val="32"/>
          <w:szCs w:val="24"/>
          <w:u w:val="none"/>
          <w:lang w:val="en-US" w:eastAsia="zh-CN"/>
        </w:rPr>
        <w:t>4）</w:t>
      </w:r>
      <w:r>
        <w:rPr>
          <w:rFonts w:hint="eastAsia" w:ascii="Times New Roman" w:hAnsi="Times New Roman" w:eastAsia="仿宋_GB2312"/>
          <w:sz w:val="32"/>
          <w:szCs w:val="24"/>
        </w:rPr>
        <w:t>沟通能力</w:t>
      </w:r>
      <w:r>
        <w:rPr>
          <w:rFonts w:hint="eastAsia" w:ascii="Times New Roman" w:hAnsi="Times New Roman" w:eastAsia="仿宋_GB2312" w:cs="Times New Roman"/>
          <w:sz w:val="32"/>
          <w:szCs w:val="24"/>
        </w:rPr>
        <w:t>（2分</w:t>
      </w:r>
      <w:r>
        <w:rPr>
          <w:rFonts w:hint="eastAsia" w:ascii="Times New Roman" w:hAnsi="Times New Roman" w:eastAsia="仿宋_GB2312" w:cs="Times New Roman"/>
          <w:sz w:val="32"/>
          <w:szCs w:val="24"/>
          <w:lang w:eastAsia="zh-CN"/>
        </w:rPr>
        <w:t>），要求</w:t>
      </w:r>
      <w:r>
        <w:rPr>
          <w:rFonts w:hint="eastAsia" w:ascii="Times New Roman" w:hAnsi="Times New Roman" w:eastAsia="仿宋_GB2312" w:cs="Times New Roman"/>
          <w:sz w:val="32"/>
          <w:szCs w:val="24"/>
        </w:rPr>
        <w:t>能较好地与审批机构沟通</w:t>
      </w:r>
      <w:r>
        <w:rPr>
          <w:rFonts w:hint="eastAsia" w:ascii="Times New Roman" w:hAnsi="Times New Roman" w:eastAsia="仿宋_GB2312" w:cs="Times New Roman"/>
          <w:sz w:val="32"/>
          <w:szCs w:val="24"/>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4.方案整体评价（</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分）：对金融机构报送的方案与企业提出指标应答的完整性，各项要求的合理性等进行整体评价。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以上内容若无特别列明扣分事宜，按有则得分，无则不得分。</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四</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债券</w:t>
      </w:r>
      <w:r>
        <w:rPr>
          <w:rFonts w:hint="eastAsia" w:ascii="楷体" w:hAnsi="楷体" w:eastAsia="楷体" w:cs="楷体"/>
          <w:b w:val="0"/>
          <w:bCs/>
          <w:color w:val="auto"/>
          <w:sz w:val="32"/>
          <w:szCs w:val="32"/>
          <w:lang w:val="en-US" w:eastAsia="zh-CN"/>
        </w:rPr>
        <w:t>承销排名</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12</w:t>
      </w:r>
      <w:r>
        <w:rPr>
          <w:rFonts w:hint="eastAsia" w:ascii="楷体" w:hAnsi="楷体" w:eastAsia="楷体" w:cs="楷体"/>
          <w:b w:val="0"/>
          <w:bCs/>
          <w:color w:val="auto"/>
          <w:sz w:val="32"/>
          <w:szCs w:val="32"/>
        </w:rPr>
        <w:t>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全国债券承销只数排名（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bookmarkStart w:id="0" w:name="OLE_LINK6"/>
      <w:r>
        <w:rPr>
          <w:rFonts w:hint="eastAsia" w:ascii="Times New Roman" w:hAnsi="Times New Roman" w:eastAsia="仿宋_GB2312" w:cs="Times New Roman"/>
          <w:b w:val="0"/>
          <w:bCs w:val="0"/>
          <w:i w:val="0"/>
          <w:iCs w:val="0"/>
          <w:caps w:val="0"/>
          <w:color w:val="auto"/>
          <w:spacing w:val="0"/>
          <w:sz w:val="32"/>
          <w:szCs w:val="24"/>
          <w:shd w:val="clear" w:color="auto" w:fill="auto"/>
        </w:rPr>
        <w:t>商业房地产抵押贷款支持证券</w:t>
      </w:r>
      <w:bookmarkEnd w:id="0"/>
      <w:r>
        <w:rPr>
          <w:rFonts w:hint="eastAsia" w:ascii="Times New Roman" w:hAnsi="Times New Roman" w:eastAsia="仿宋_GB2312"/>
          <w:sz w:val="32"/>
          <w:szCs w:val="24"/>
        </w:rPr>
        <w:t>在全国发行只数从高到低依次排名（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）。无承销只数不得分。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全国债券承销金额排名（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r>
        <w:rPr>
          <w:rFonts w:hint="eastAsia" w:ascii="Times New Roman" w:hAnsi="Times New Roman" w:eastAsia="仿宋_GB2312" w:cs="Times New Roman"/>
          <w:b w:val="0"/>
          <w:bCs w:val="0"/>
          <w:i w:val="0"/>
          <w:iCs w:val="0"/>
          <w:caps w:val="0"/>
          <w:color w:val="auto"/>
          <w:spacing w:val="0"/>
          <w:sz w:val="32"/>
          <w:szCs w:val="24"/>
          <w:shd w:val="clear" w:color="auto" w:fill="auto"/>
        </w:rPr>
        <w:t>商业房地产抵押贷款支持证券</w:t>
      </w:r>
      <w:r>
        <w:rPr>
          <w:rFonts w:hint="eastAsia" w:ascii="Times New Roman" w:hAnsi="Times New Roman" w:eastAsia="仿宋_GB2312"/>
          <w:sz w:val="32"/>
          <w:szCs w:val="24"/>
        </w:rPr>
        <w:t>在全国发行承销总额从高到低依次排名（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）。无承销金额不得分。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福建省债券承销只数排名（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r>
        <w:rPr>
          <w:rFonts w:hint="eastAsia" w:ascii="Times New Roman" w:hAnsi="Times New Roman" w:eastAsia="仿宋_GB2312" w:cs="Times New Roman"/>
          <w:b w:val="0"/>
          <w:bCs w:val="0"/>
          <w:i w:val="0"/>
          <w:iCs w:val="0"/>
          <w:caps w:val="0"/>
          <w:color w:val="auto"/>
          <w:spacing w:val="0"/>
          <w:sz w:val="32"/>
          <w:szCs w:val="24"/>
          <w:shd w:val="clear" w:color="auto" w:fill="auto"/>
        </w:rPr>
        <w:t>商业房地产抵押贷款支持证券</w:t>
      </w:r>
      <w:r>
        <w:rPr>
          <w:rFonts w:hint="eastAsia" w:ascii="Times New Roman" w:hAnsi="Times New Roman" w:eastAsia="仿宋_GB2312"/>
          <w:sz w:val="32"/>
          <w:szCs w:val="24"/>
        </w:rPr>
        <w:t>在福建省发行只数从高到低依次排名（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）。无承销只数不得分。</w:t>
      </w:r>
    </w:p>
    <w:p>
      <w:pPr>
        <w:spacing w:line="58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福建省债券承销金额排名（</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分）：根据上一年度及当年截至评选上一月底同主体评级地方国有企业</w:t>
      </w:r>
      <w:r>
        <w:rPr>
          <w:rFonts w:hint="eastAsia" w:ascii="Times New Roman" w:hAnsi="Times New Roman" w:eastAsia="仿宋_GB2312" w:cs="Times New Roman"/>
          <w:b w:val="0"/>
          <w:bCs w:val="0"/>
          <w:i w:val="0"/>
          <w:iCs w:val="0"/>
          <w:caps w:val="0"/>
          <w:color w:val="auto"/>
          <w:spacing w:val="0"/>
          <w:sz w:val="32"/>
          <w:szCs w:val="24"/>
          <w:shd w:val="clear" w:color="auto" w:fill="auto"/>
        </w:rPr>
        <w:t>商业房地产抵押贷款支持证券</w:t>
      </w:r>
      <w:r>
        <w:rPr>
          <w:rFonts w:hint="eastAsia" w:ascii="Times New Roman" w:hAnsi="Times New Roman" w:eastAsia="仿宋_GB2312"/>
          <w:sz w:val="32"/>
          <w:szCs w:val="24"/>
        </w:rPr>
        <w:t>在福建省发行承销总额从高到低依次排名（</w:t>
      </w:r>
      <w:r>
        <w:rPr>
          <w:rFonts w:ascii="Times New Roman" w:hAnsi="Times New Roman" w:eastAsia="仿宋_GB2312"/>
          <w:sz w:val="32"/>
          <w:szCs w:val="24"/>
        </w:rPr>
        <w:t>wind</w:t>
      </w:r>
      <w:r>
        <w:rPr>
          <w:rFonts w:hint="eastAsia" w:ascii="Times New Roman" w:hAnsi="Times New Roman" w:eastAsia="仿宋_GB2312"/>
          <w:sz w:val="32"/>
          <w:szCs w:val="24"/>
        </w:rPr>
        <w:t>口径），排名第一得</w:t>
      </w:r>
      <w:r>
        <w:rPr>
          <w:rFonts w:hint="eastAsia" w:ascii="Times New Roman" w:hAnsi="Times New Roman" w:eastAsia="仿宋_GB2312"/>
          <w:sz w:val="32"/>
          <w:szCs w:val="24"/>
          <w:lang w:val="en-US" w:eastAsia="zh-CN"/>
        </w:rPr>
        <w:t>3</w:t>
      </w:r>
      <w:r>
        <w:rPr>
          <w:rFonts w:hint="eastAsia" w:ascii="Times New Roman" w:hAnsi="Times New Roman" w:eastAsia="仿宋_GB2312"/>
          <w:sz w:val="32"/>
          <w:szCs w:val="24"/>
        </w:rPr>
        <w:t>分，每下降一名减</w:t>
      </w:r>
      <w:r>
        <w:rPr>
          <w:rFonts w:hint="eastAsia" w:ascii="Times New Roman" w:hAnsi="Times New Roman" w:eastAsia="仿宋_GB2312"/>
          <w:sz w:val="32"/>
          <w:szCs w:val="24"/>
          <w:lang w:val="en-US" w:eastAsia="zh-CN"/>
        </w:rPr>
        <w:t>0.5</w:t>
      </w:r>
      <w:r>
        <w:rPr>
          <w:rFonts w:hint="eastAsia" w:ascii="Times New Roman" w:hAnsi="Times New Roman" w:eastAsia="仿宋_GB2312"/>
          <w:sz w:val="32"/>
          <w:szCs w:val="24"/>
        </w:rPr>
        <w:t>分，扣减至</w:t>
      </w:r>
      <w:r>
        <w:rPr>
          <w:rFonts w:ascii="Times New Roman" w:hAnsi="Times New Roman" w:eastAsia="仿宋_GB2312"/>
          <w:sz w:val="32"/>
          <w:szCs w:val="24"/>
        </w:rPr>
        <w:t>0</w:t>
      </w:r>
      <w:r>
        <w:rPr>
          <w:rFonts w:hint="eastAsia" w:ascii="Times New Roman" w:hAnsi="Times New Roman" w:eastAsia="仿宋_GB2312"/>
          <w:sz w:val="32"/>
          <w:szCs w:val="24"/>
        </w:rPr>
        <w:t>分为止。（上年度得分权重为</w:t>
      </w:r>
      <w:r>
        <w:rPr>
          <w:rFonts w:ascii="Times New Roman" w:hAnsi="Times New Roman" w:eastAsia="仿宋_GB2312"/>
          <w:sz w:val="32"/>
          <w:szCs w:val="24"/>
        </w:rPr>
        <w:t>40%</w:t>
      </w:r>
      <w:r>
        <w:rPr>
          <w:rFonts w:hint="eastAsia" w:ascii="Times New Roman" w:hAnsi="Times New Roman" w:eastAsia="仿宋_GB2312"/>
          <w:sz w:val="32"/>
          <w:szCs w:val="24"/>
        </w:rPr>
        <w:t>，当年得分权重为</w:t>
      </w:r>
      <w:r>
        <w:rPr>
          <w:rFonts w:ascii="Times New Roman" w:hAnsi="Times New Roman" w:eastAsia="仿宋_GB2312"/>
          <w:sz w:val="32"/>
          <w:szCs w:val="24"/>
        </w:rPr>
        <w:t>60%</w:t>
      </w:r>
      <w:r>
        <w:rPr>
          <w:rFonts w:hint="eastAsia" w:ascii="Times New Roman" w:hAnsi="Times New Roman" w:eastAsia="仿宋_GB2312"/>
          <w:sz w:val="32"/>
          <w:szCs w:val="24"/>
        </w:rPr>
        <w:t>。若在一季度进行比选则上年得分权重为</w:t>
      </w:r>
      <w:r>
        <w:rPr>
          <w:rFonts w:ascii="Times New Roman" w:hAnsi="Times New Roman" w:eastAsia="仿宋_GB2312"/>
          <w:sz w:val="32"/>
          <w:szCs w:val="24"/>
        </w:rPr>
        <w:t>100%</w:t>
      </w:r>
      <w:r>
        <w:rPr>
          <w:rFonts w:hint="eastAsia" w:ascii="Times New Roman" w:hAnsi="Times New Roman" w:eastAsia="仿宋_GB2312"/>
          <w:sz w:val="32"/>
          <w:szCs w:val="24"/>
        </w:rPr>
        <w:t>）。无承销金额不得分。</w:t>
      </w:r>
    </w:p>
    <w:p>
      <w:pPr>
        <w:spacing w:line="560" w:lineRule="exact"/>
        <w:ind w:firstLine="640" w:firstLineChars="200"/>
        <w:rPr>
          <w:rFonts w:hint="eastAsia" w:ascii="楷体" w:hAnsi="楷体" w:eastAsia="楷体" w:cs="楷体"/>
          <w:b w:val="0"/>
          <w:bCs/>
          <w:color w:val="auto"/>
          <w:sz w:val="32"/>
          <w:szCs w:val="32"/>
          <w:highlight w:val="none"/>
          <w:lang w:val="en-US" w:eastAsia="zh-CN"/>
        </w:rPr>
      </w:pPr>
      <w:r>
        <w:rPr>
          <w:rFonts w:hint="eastAsia" w:ascii="楷体" w:hAnsi="楷体" w:eastAsia="楷体" w:cs="楷体"/>
          <w:b w:val="0"/>
          <w:bCs/>
          <w:color w:val="auto"/>
          <w:sz w:val="32"/>
          <w:szCs w:val="32"/>
          <w:highlight w:val="none"/>
          <w:lang w:val="en-US" w:eastAsia="zh-CN"/>
        </w:rPr>
        <w:t>（五）合作后评价（20分）</w:t>
      </w:r>
    </w:p>
    <w:p>
      <w:pPr>
        <w:numPr>
          <w:ilvl w:val="0"/>
          <w:numId w:val="0"/>
        </w:numPr>
        <w:spacing w:line="58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rPr>
        <w:t>根据</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与</w:t>
      </w:r>
      <w:r>
        <w:rPr>
          <w:rFonts w:hint="eastAsia" w:ascii="Times New Roman" w:hAnsi="Times New Roman" w:eastAsia="仿宋_GB2312"/>
          <w:sz w:val="32"/>
          <w:szCs w:val="24"/>
          <w:lang w:eastAsia="zh-CN"/>
        </w:rPr>
        <w:t>各</w:t>
      </w:r>
      <w:r>
        <w:rPr>
          <w:rFonts w:hint="eastAsia" w:ascii="Times New Roman" w:hAnsi="Times New Roman" w:eastAsia="仿宋_GB2312"/>
          <w:sz w:val="32"/>
          <w:szCs w:val="24"/>
        </w:rPr>
        <w:t>金融机构合作</w:t>
      </w:r>
      <w:r>
        <w:rPr>
          <w:rFonts w:hint="eastAsia" w:ascii="Times New Roman" w:hAnsi="Times New Roman" w:eastAsia="仿宋_GB2312"/>
          <w:sz w:val="32"/>
          <w:szCs w:val="24"/>
          <w:lang w:eastAsia="zh-CN"/>
        </w:rPr>
        <w:t>债券</w:t>
      </w:r>
      <w:r>
        <w:rPr>
          <w:rFonts w:hint="eastAsia" w:ascii="Times New Roman" w:hAnsi="Times New Roman" w:eastAsia="仿宋_GB2312"/>
          <w:sz w:val="32"/>
          <w:szCs w:val="24"/>
        </w:rPr>
        <w:t>情况进行评分，分基础评分和直接加减分两部分。</w:t>
      </w:r>
    </w:p>
    <w:p>
      <w:pPr>
        <w:numPr>
          <w:ilvl w:val="0"/>
          <w:numId w:val="0"/>
        </w:numPr>
        <w:spacing w:line="580" w:lineRule="exact"/>
        <w:ind w:firstLine="640" w:firstLineChars="200"/>
        <w:rPr>
          <w:rFonts w:ascii="Times New Roman" w:hAnsi="Times New Roman" w:eastAsia="仿宋_GB2312"/>
          <w:sz w:val="32"/>
          <w:szCs w:val="24"/>
        </w:rPr>
      </w:pPr>
      <w:r>
        <w:rPr>
          <w:rFonts w:hint="eastAsia" w:ascii="仿宋_GB2312" w:hAnsi="仿宋_GB2312" w:eastAsia="仿宋_GB2312" w:cs="仿宋_GB2312"/>
          <w:sz w:val="32"/>
          <w:szCs w:val="24"/>
        </w:rPr>
        <w:t>（1）根据</w:t>
      </w:r>
      <w:r>
        <w:rPr>
          <w:rFonts w:hint="eastAsia" w:ascii="仿宋_GB2312" w:hAnsi="仿宋_GB2312" w:eastAsia="仿宋_GB2312" w:cs="仿宋_GB2312"/>
          <w:sz w:val="32"/>
          <w:szCs w:val="24"/>
          <w:lang w:eastAsia="zh-CN"/>
        </w:rPr>
        <w:t>与我司</w:t>
      </w:r>
      <w:r>
        <w:rPr>
          <w:rFonts w:hint="eastAsia" w:ascii="仿宋_GB2312" w:hAnsi="仿宋_GB2312" w:eastAsia="仿宋_GB2312" w:cs="仿宋_GB2312"/>
          <w:sz w:val="32"/>
          <w:szCs w:val="24"/>
        </w:rPr>
        <w:t>当年度</w:t>
      </w:r>
      <w:r>
        <w:rPr>
          <w:rFonts w:hint="eastAsia" w:ascii="Times New Roman" w:hAnsi="Times New Roman" w:eastAsia="仿宋_GB2312"/>
          <w:sz w:val="32"/>
          <w:szCs w:val="24"/>
          <w:lang w:eastAsia="zh-CN"/>
        </w:rPr>
        <w:t>境内债券</w:t>
      </w:r>
      <w:r>
        <w:rPr>
          <w:rFonts w:hint="eastAsia" w:ascii="Times New Roman" w:hAnsi="Times New Roman" w:eastAsia="仿宋_GB2312"/>
          <w:sz w:val="32"/>
          <w:szCs w:val="24"/>
        </w:rPr>
        <w:t>合作情况对合作金融机构进行基础评分</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rPr>
        <w:t>评分</w:t>
      </w:r>
      <w:r>
        <w:rPr>
          <w:rFonts w:ascii="Times New Roman" w:hAnsi="Times New Roman" w:eastAsia="仿宋_GB2312"/>
          <w:sz w:val="32"/>
          <w:szCs w:val="24"/>
        </w:rPr>
        <w:t>91-100</w:t>
      </w:r>
      <w:r>
        <w:rPr>
          <w:rFonts w:hint="eastAsia" w:ascii="Times New Roman" w:hAnsi="Times New Roman" w:eastAsia="仿宋_GB2312"/>
          <w:sz w:val="32"/>
          <w:szCs w:val="24"/>
        </w:rPr>
        <w:t>分的得</w:t>
      </w:r>
      <w:r>
        <w:rPr>
          <w:rFonts w:ascii="Times New Roman" w:hAnsi="Times New Roman" w:eastAsia="仿宋_GB2312"/>
          <w:sz w:val="32"/>
          <w:szCs w:val="24"/>
        </w:rPr>
        <w:t>5</w:t>
      </w:r>
      <w:r>
        <w:rPr>
          <w:rFonts w:hint="eastAsia" w:ascii="Times New Roman" w:hAnsi="Times New Roman" w:eastAsia="仿宋_GB2312"/>
          <w:sz w:val="32"/>
          <w:szCs w:val="24"/>
        </w:rPr>
        <w:t>分，评分</w:t>
      </w:r>
      <w:r>
        <w:rPr>
          <w:rFonts w:ascii="Times New Roman" w:hAnsi="Times New Roman" w:eastAsia="仿宋_GB2312"/>
          <w:sz w:val="32"/>
          <w:szCs w:val="24"/>
        </w:rPr>
        <w:t>76-90</w:t>
      </w:r>
      <w:r>
        <w:rPr>
          <w:rFonts w:hint="eastAsia" w:ascii="Times New Roman" w:hAnsi="Times New Roman" w:eastAsia="仿宋_GB2312"/>
          <w:sz w:val="32"/>
          <w:szCs w:val="24"/>
        </w:rPr>
        <w:t>分的得</w:t>
      </w:r>
      <w:r>
        <w:rPr>
          <w:rFonts w:ascii="Times New Roman" w:hAnsi="Times New Roman" w:eastAsia="仿宋_GB2312"/>
          <w:sz w:val="32"/>
          <w:szCs w:val="24"/>
        </w:rPr>
        <w:t>2</w:t>
      </w:r>
      <w:r>
        <w:rPr>
          <w:rFonts w:hint="eastAsia" w:ascii="Times New Roman" w:hAnsi="Times New Roman" w:eastAsia="仿宋_GB2312"/>
          <w:sz w:val="32"/>
          <w:szCs w:val="24"/>
        </w:rPr>
        <w:t>分，评分</w:t>
      </w:r>
      <w:r>
        <w:rPr>
          <w:rFonts w:ascii="Times New Roman" w:hAnsi="Times New Roman" w:eastAsia="仿宋_GB2312"/>
          <w:sz w:val="32"/>
          <w:szCs w:val="24"/>
        </w:rPr>
        <w:t>60-75</w:t>
      </w:r>
      <w:r>
        <w:rPr>
          <w:rFonts w:hint="eastAsia" w:ascii="Times New Roman" w:hAnsi="Times New Roman" w:eastAsia="仿宋_GB2312"/>
          <w:sz w:val="32"/>
          <w:szCs w:val="24"/>
        </w:rPr>
        <w:t>分的得</w:t>
      </w:r>
      <w:r>
        <w:rPr>
          <w:rFonts w:ascii="Times New Roman" w:hAnsi="Times New Roman" w:eastAsia="仿宋_GB2312"/>
          <w:sz w:val="32"/>
          <w:szCs w:val="24"/>
        </w:rPr>
        <w:t>1</w:t>
      </w:r>
      <w:r>
        <w:rPr>
          <w:rFonts w:hint="eastAsia" w:ascii="Times New Roman" w:hAnsi="Times New Roman" w:eastAsia="仿宋_GB2312"/>
          <w:sz w:val="32"/>
          <w:szCs w:val="24"/>
        </w:rPr>
        <w:t>分，评分</w:t>
      </w:r>
      <w:r>
        <w:rPr>
          <w:rFonts w:ascii="Times New Roman" w:hAnsi="Times New Roman" w:eastAsia="仿宋_GB2312"/>
          <w:sz w:val="32"/>
          <w:szCs w:val="24"/>
        </w:rPr>
        <w:t>60</w:t>
      </w:r>
      <w:r>
        <w:rPr>
          <w:rFonts w:hint="eastAsia" w:ascii="Times New Roman" w:hAnsi="Times New Roman" w:eastAsia="仿宋_GB2312"/>
          <w:sz w:val="32"/>
          <w:szCs w:val="24"/>
        </w:rPr>
        <w:t>分以下不得分。</w:t>
      </w:r>
    </w:p>
    <w:p>
      <w:pPr>
        <w:numPr>
          <w:ilvl w:val="0"/>
          <w:numId w:val="0"/>
        </w:numPr>
        <w:spacing w:line="580" w:lineRule="exact"/>
        <w:ind w:firstLine="640" w:firstLineChars="200"/>
        <w:rPr>
          <w:rFonts w:ascii="Times New Roman" w:hAnsi="Times New Roman" w:eastAsia="仿宋_GB2312"/>
          <w:sz w:val="32"/>
          <w:szCs w:val="24"/>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Times New Roman" w:hAnsi="Times New Roman" w:eastAsia="仿宋_GB2312"/>
          <w:sz w:val="32"/>
          <w:szCs w:val="24"/>
        </w:rPr>
        <w:t>直接加减分项（</w:t>
      </w:r>
      <w:r>
        <w:rPr>
          <w:rFonts w:ascii="Times New Roman" w:hAnsi="Times New Roman" w:eastAsia="仿宋_GB2312"/>
          <w:sz w:val="32"/>
          <w:szCs w:val="24"/>
        </w:rPr>
        <w:t>15</w:t>
      </w:r>
      <w:r>
        <w:rPr>
          <w:rFonts w:hint="eastAsia" w:ascii="Times New Roman" w:hAnsi="Times New Roman" w:eastAsia="仿宋_GB2312"/>
          <w:sz w:val="32"/>
          <w:szCs w:val="24"/>
        </w:rPr>
        <w:t>分）：</w:t>
      </w:r>
    </w:p>
    <w:p>
      <w:pPr>
        <w:spacing w:line="580" w:lineRule="exact"/>
        <w:ind w:firstLine="640" w:firstLineChars="200"/>
        <w:rPr>
          <w:rFonts w:ascii="Times New Roman" w:hAnsi="Times New Roman" w:eastAsia="仿宋_GB2312"/>
          <w:sz w:val="32"/>
          <w:szCs w:val="24"/>
        </w:rPr>
      </w:pPr>
      <w:r>
        <w:rPr>
          <w:rFonts w:hint="eastAsia" w:ascii="仿宋_GB2312" w:hAnsi="Times New Roman" w:eastAsia="仿宋_GB2312"/>
          <w:sz w:val="32"/>
          <w:szCs w:val="24"/>
        </w:rPr>
        <w:t>①</w:t>
      </w:r>
      <w:r>
        <w:rPr>
          <w:rFonts w:hint="eastAsia" w:ascii="Times New Roman" w:hAnsi="Times New Roman" w:eastAsia="仿宋_GB2312"/>
          <w:sz w:val="32"/>
          <w:szCs w:val="24"/>
        </w:rPr>
        <w:t>上一年度及当年截至评选上一月底认购</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发行的融资产品，每</w:t>
      </w:r>
      <w:r>
        <w:rPr>
          <w:rFonts w:ascii="Times New Roman" w:hAnsi="Times New Roman" w:eastAsia="仿宋_GB2312"/>
          <w:sz w:val="32"/>
          <w:szCs w:val="24"/>
        </w:rPr>
        <w:t>1</w:t>
      </w:r>
      <w:r>
        <w:rPr>
          <w:rFonts w:hint="eastAsia" w:ascii="Times New Roman" w:hAnsi="Times New Roman" w:eastAsia="仿宋_GB2312"/>
          <w:sz w:val="32"/>
          <w:szCs w:val="24"/>
        </w:rPr>
        <w:t>亿元（不足部分按比例计算），加</w:t>
      </w:r>
      <w:r>
        <w:rPr>
          <w:rFonts w:hint="eastAsia" w:ascii="Times New Roman" w:hAnsi="Times New Roman" w:eastAsia="仿宋_GB2312"/>
          <w:sz w:val="32"/>
          <w:szCs w:val="24"/>
          <w:lang w:val="en-US" w:eastAsia="zh-CN"/>
        </w:rPr>
        <w:t>0.2</w:t>
      </w:r>
      <w:r>
        <w:rPr>
          <w:rFonts w:hint="eastAsia" w:ascii="Times New Roman" w:hAnsi="Times New Roman" w:eastAsia="仿宋_GB2312"/>
          <w:sz w:val="32"/>
          <w:szCs w:val="24"/>
        </w:rPr>
        <w:t>分，封顶</w:t>
      </w:r>
      <w:r>
        <w:rPr>
          <w:rFonts w:ascii="Times New Roman" w:hAnsi="Times New Roman" w:eastAsia="仿宋_GB2312"/>
          <w:sz w:val="32"/>
          <w:szCs w:val="24"/>
        </w:rPr>
        <w:t>15</w:t>
      </w:r>
      <w:r>
        <w:rPr>
          <w:rFonts w:hint="eastAsia" w:ascii="Times New Roman" w:hAnsi="Times New Roman" w:eastAsia="仿宋_GB2312"/>
          <w:sz w:val="32"/>
          <w:szCs w:val="24"/>
        </w:rPr>
        <w:t>分。</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Times New Roman" w:eastAsia="仿宋_GB2312"/>
          <w:sz w:val="32"/>
          <w:szCs w:val="24"/>
        </w:rPr>
        <w:t>②</w:t>
      </w:r>
      <w:r>
        <w:rPr>
          <w:rFonts w:hint="eastAsia" w:ascii="Times New Roman" w:hAnsi="Times New Roman" w:eastAsia="仿宋_GB2312"/>
          <w:sz w:val="32"/>
          <w:szCs w:val="24"/>
        </w:rPr>
        <w:t>金融机构与</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上年及本年债券发行合作中，非因监管政策、市场等客观原因，虽导致未能按企业需求实现债券发行，但造成的负面影响仍可控的，一次性扣</w:t>
      </w:r>
      <w:r>
        <w:rPr>
          <w:rFonts w:ascii="Times New Roman" w:hAnsi="Times New Roman" w:eastAsia="仿宋_GB2312"/>
          <w:sz w:val="32"/>
          <w:szCs w:val="24"/>
        </w:rPr>
        <w:t>15</w:t>
      </w:r>
      <w:r>
        <w:rPr>
          <w:rFonts w:hint="eastAsia" w:ascii="Times New Roman" w:hAnsi="Times New Roman" w:eastAsia="仿宋_GB2312"/>
          <w:sz w:val="32"/>
          <w:szCs w:val="24"/>
        </w:rPr>
        <w:t>分。</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、制约条款</w:t>
      </w:r>
    </w:p>
    <w:p>
      <w:pPr>
        <w:spacing w:line="580" w:lineRule="exact"/>
        <w:ind w:firstLine="634"/>
        <w:rPr>
          <w:rFonts w:ascii="Times New Roman" w:hAnsi="Times New Roman" w:eastAsia="仿宋_GB2312"/>
          <w:sz w:val="32"/>
          <w:szCs w:val="24"/>
        </w:rPr>
      </w:pPr>
      <w:r>
        <w:rPr>
          <w:rFonts w:hint="eastAsia" w:ascii="Times New Roman" w:hAnsi="Times New Roman" w:eastAsia="仿宋_GB2312"/>
          <w:sz w:val="32"/>
          <w:szCs w:val="24"/>
          <w:lang w:val="en-US" w:eastAsia="zh-CN"/>
        </w:rPr>
        <w:t>（一）</w:t>
      </w:r>
      <w:r>
        <w:rPr>
          <w:rFonts w:hint="eastAsia" w:ascii="Times New Roman" w:hAnsi="Times New Roman" w:eastAsia="仿宋_GB2312"/>
          <w:sz w:val="32"/>
          <w:szCs w:val="24"/>
        </w:rPr>
        <w:t>在开展债券融资合作的过程中，因金融机构的原因导致发行计划推迟或取消，对</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造成重大负面影响的，取消该金融机构未来一年参与</w:t>
      </w:r>
      <w:r>
        <w:rPr>
          <w:rFonts w:hint="eastAsia" w:ascii="Times New Roman" w:hAnsi="Times New Roman" w:eastAsia="仿宋_GB2312"/>
          <w:sz w:val="32"/>
          <w:szCs w:val="24"/>
          <w:lang w:eastAsia="zh-CN"/>
        </w:rPr>
        <w:t>我司</w:t>
      </w:r>
      <w:r>
        <w:rPr>
          <w:rFonts w:hint="eastAsia" w:ascii="Times New Roman" w:hAnsi="Times New Roman" w:eastAsia="仿宋_GB2312"/>
          <w:sz w:val="32"/>
          <w:szCs w:val="24"/>
        </w:rPr>
        <w:t>债券融资计划比选资格。</w:t>
      </w:r>
    </w:p>
    <w:p>
      <w:pPr>
        <w:adjustRightInd w:val="0"/>
        <w:snapToGrid w:val="0"/>
        <w:spacing w:line="580" w:lineRule="exact"/>
        <w:ind w:firstLine="640" w:firstLineChars="200"/>
        <w:rPr>
          <w:rFonts w:hint="eastAsia" w:ascii="仿宋_GB2312" w:hAnsi="仿宋_GB2312" w:eastAsia="仿宋_GB2312" w:cs="仿宋_GB2312"/>
          <w:strike w:val="0"/>
          <w:sz w:val="32"/>
          <w:szCs w:val="32"/>
          <w:highlight w:val="yellow"/>
        </w:rPr>
      </w:pPr>
      <w:r>
        <w:rPr>
          <w:rFonts w:hint="eastAsia" w:ascii="Times New Roman" w:hAnsi="Times New Roman" w:eastAsia="仿宋_GB2312"/>
          <w:sz w:val="32"/>
          <w:szCs w:val="24"/>
          <w:lang w:val="en-US" w:eastAsia="zh-CN"/>
        </w:rPr>
        <w:t>（二）</w:t>
      </w:r>
      <w:r>
        <w:rPr>
          <w:rFonts w:hint="eastAsia" w:ascii="仿宋_GB2312" w:hAnsi="仿宋_GB2312" w:eastAsia="仿宋_GB2312" w:cs="仿宋_GB2312"/>
          <w:sz w:val="32"/>
          <w:szCs w:val="32"/>
        </w:rPr>
        <w:t>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年内，境内债券牵头单位或联合体任意成员单位未因债券承销业务被相关监管机构（主管部门）处罚</w:t>
      </w:r>
      <w:r>
        <w:rPr>
          <w:rFonts w:hint="eastAsia" w:ascii="仿宋_GB2312" w:hAnsi="仿宋_GB2312" w:eastAsia="仿宋_GB2312" w:cs="仿宋_GB2312"/>
          <w:sz w:val="32"/>
          <w:szCs w:val="32"/>
          <w:lang w:eastAsia="zh-CN"/>
        </w:rPr>
        <w:t>、公开批评</w:t>
      </w:r>
      <w:r>
        <w:rPr>
          <w:rFonts w:hint="eastAsia" w:ascii="仿宋_GB2312" w:hAnsi="仿宋_GB2312" w:eastAsia="仿宋_GB2312" w:cs="仿宋_GB2312"/>
          <w:sz w:val="32"/>
          <w:szCs w:val="32"/>
        </w:rPr>
        <w:t>或仍处于处罚期</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金融机构在选择联组合作机构时，牵头主承销商应充分评估合作对象的内部流程，在后续开展融资合作的过程中，牵头主承销商负责沟通协调联席承销商内部流程效率，未按提交的比选方案中明确的时间安排完成融资项目发行的，我司有权视实际影响采取包括在下一次融资合作评分融资效率中扣分等措施。</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）若金融机构已竞得债券承销项目不存在客观原因影响申报，但尚未取得批文，则该金融机构需在债券承销项目取得批文后，方可继续参与其他债券承销项目。</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）非因金融机构原因导致债券项目暂无法申报注册的，保留该金融机构该债券项目主承销商资格一年（从</w:t>
      </w:r>
      <w:r>
        <w:rPr>
          <w:rFonts w:hint="eastAsia" w:ascii="仿宋_GB2312" w:hAnsi="仿宋_GB2312" w:eastAsia="仿宋_GB2312" w:cs="仿宋_GB2312"/>
          <w:sz w:val="32"/>
          <w:szCs w:val="32"/>
          <w:lang w:eastAsia="zh-CN"/>
        </w:rPr>
        <w:t>我司</w:t>
      </w:r>
      <w:r>
        <w:rPr>
          <w:rFonts w:hint="eastAsia" w:ascii="仿宋_GB2312" w:hAnsi="仿宋_GB2312" w:eastAsia="仿宋_GB2312" w:cs="仿宋_GB2312"/>
          <w:sz w:val="32"/>
          <w:szCs w:val="32"/>
        </w:rPr>
        <w:t>通知金融机构中选日起第</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天开始计算），一年后若重启项目，则按程序重新开展债券发行承销机构比选。</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金融机构参与比选即视同接受上述制约条款。</w:t>
      </w:r>
    </w:p>
    <w:p>
      <w:pPr>
        <w:numPr>
          <w:ilvl w:val="0"/>
          <w:numId w:val="0"/>
        </w:numPr>
        <w:spacing w:line="560" w:lineRule="exact"/>
        <w:ind w:left="630" w:firstLine="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其他事项说明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auto"/>
        </w:rPr>
        <w:t>商业房地产抵押贷款支持证券</w:t>
      </w:r>
      <w:r>
        <w:rPr>
          <w:rFonts w:hint="eastAsia" w:ascii="仿宋_GB2312" w:hAnsi="仿宋_GB2312" w:eastAsia="仿宋_GB2312" w:cs="仿宋_GB2312"/>
          <w:b w:val="0"/>
          <w:bCs w:val="0"/>
          <w:color w:val="auto"/>
          <w:sz w:val="32"/>
          <w:szCs w:val="32"/>
          <w:lang w:val="en-US" w:eastAsia="zh-CN"/>
        </w:rPr>
        <w:t>最终的承销费率以</w:t>
      </w:r>
      <w:r>
        <w:rPr>
          <w:rFonts w:hint="eastAsia" w:ascii="仿宋_GB2312" w:hAnsi="仿宋_GB2312" w:eastAsia="仿宋_GB2312" w:cs="仿宋_GB2312"/>
          <w:sz w:val="32"/>
          <w:szCs w:val="32"/>
        </w:rPr>
        <w:t>中选</w:t>
      </w:r>
      <w:r>
        <w:rPr>
          <w:rFonts w:hint="eastAsia" w:ascii="仿宋_GB2312" w:hAnsi="仿宋_GB2312" w:eastAsia="仿宋_GB2312" w:cs="仿宋_GB2312"/>
          <w:sz w:val="32"/>
          <w:szCs w:val="32"/>
          <w:lang w:val="en-US" w:eastAsia="zh-CN"/>
        </w:rPr>
        <w:t>主承销商的</w:t>
      </w:r>
      <w:r>
        <w:rPr>
          <w:rFonts w:hint="eastAsia" w:ascii="仿宋_GB2312" w:hAnsi="仿宋_GB2312" w:eastAsia="仿宋_GB2312" w:cs="仿宋_GB2312"/>
          <w:sz w:val="32"/>
          <w:szCs w:val="32"/>
        </w:rPr>
        <w:t>承销费率报价</w:t>
      </w:r>
      <w:r>
        <w:rPr>
          <w:rFonts w:hint="eastAsia" w:ascii="仿宋_GB2312" w:hAnsi="仿宋_GB2312" w:eastAsia="仿宋_GB2312" w:cs="仿宋_GB2312"/>
          <w:sz w:val="32"/>
          <w:szCs w:val="32"/>
          <w:lang w:eastAsia="zh-CN"/>
        </w:rPr>
        <w:t>为准</w:t>
      </w:r>
      <w:r>
        <w:rPr>
          <w:rFonts w:hint="eastAsia" w:ascii="仿宋_GB2312" w:hAnsi="仿宋_GB2312" w:eastAsia="仿宋_GB2312" w:cs="仿宋_GB2312"/>
          <w:sz w:val="32"/>
          <w:szCs w:val="32"/>
        </w:rPr>
        <w:t>；联合体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承销</w:t>
      </w:r>
      <w:r>
        <w:rPr>
          <w:rFonts w:hint="eastAsia" w:ascii="仿宋_GB2312" w:hAnsi="仿宋_GB2312" w:eastAsia="仿宋_GB2312" w:cs="仿宋_GB2312"/>
          <w:sz w:val="32"/>
          <w:szCs w:val="32"/>
          <w:lang w:eastAsia="zh-CN"/>
        </w:rPr>
        <w:t>比例等事项</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CN"/>
        </w:rPr>
        <w:t>由参与比选的联组双方机构自行协商（若有），参与报价视为双方已协商一致，任何一方不得因双方未尽事项影响我司项目推进。</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w:t>
      </w:r>
      <w:r>
        <w:rPr>
          <w:rFonts w:hint="eastAsia" w:ascii="仿宋_GB2312" w:hAnsi="仿宋_GB2312" w:eastAsia="仿宋_GB2312" w:cs="仿宋_GB2312"/>
          <w:color w:val="auto"/>
          <w:sz w:val="32"/>
          <w:szCs w:val="32"/>
          <w:highlight w:val="none"/>
          <w:lang w:val="en-US" w:eastAsia="zh-CN"/>
        </w:rPr>
        <w:t>债券承销机构确定后，若因我司融资计划有变取消该债券注册发行工作，我司有权单方面决定与中选承销机构解除本债券合作关系，参与比选的金融机构视同接受本事项说明。</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3.按照比选规则要求，同一参选机构不能同时中选两个品种，原则上本次比选结果按照非公开发行公司债券、</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商业房地产抵押贷款支持证券</w:t>
      </w:r>
      <w:r>
        <w:rPr>
          <w:rFonts w:hint="eastAsia" w:ascii="仿宋_GB2312" w:hAnsi="仿宋_GB2312" w:eastAsia="仿宋_GB2312" w:cs="仿宋_GB2312"/>
          <w:color w:val="auto"/>
          <w:sz w:val="32"/>
          <w:szCs w:val="32"/>
          <w:highlight w:val="none"/>
          <w:u w:val="none"/>
          <w:lang w:val="en-US" w:eastAsia="zh-CN"/>
        </w:rPr>
        <w:t>产品先后顺序候选，金融机构中选非公开发行公司债券后不再参与</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商业房地产抵押贷款支持证券</w:t>
      </w:r>
      <w:r>
        <w:rPr>
          <w:rFonts w:hint="eastAsia" w:ascii="仿宋_GB2312" w:hAnsi="仿宋_GB2312" w:eastAsia="仿宋_GB2312" w:cs="仿宋_GB2312"/>
          <w:color w:val="auto"/>
          <w:sz w:val="32"/>
          <w:szCs w:val="32"/>
          <w:highlight w:val="none"/>
          <w:u w:val="none"/>
          <w:lang w:val="en-US" w:eastAsia="zh-CN"/>
        </w:rPr>
        <w:t>产品比选。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92AE2"/>
    <w:multiLevelType w:val="singleLevel"/>
    <w:tmpl w:val="75F92A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F1175"/>
    <w:rsid w:val="293F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2024-12-12T03:31:00Z</dcterms:created>
  <dc:creator>Administrator</dc:creator>
  <cp:lastModifiedBy>Administrator</cp:lastModifiedBy>
  <dcterms:modified xsi:type="dcterms:W3CDTF">2024-12-12T03:32:23Z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99B28D07992740B996862F423925CE5B</vt:lpwstr>
  </property>
</Properties>
</file>